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F9" w:rsidRDefault="00B233F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233F9" w:rsidRDefault="00B233F9">
      <w:pPr>
        <w:pStyle w:val="ConsPlusNormal"/>
        <w:jc w:val="both"/>
        <w:outlineLvl w:val="0"/>
      </w:pPr>
    </w:p>
    <w:p w:rsidR="00B233F9" w:rsidRDefault="00B233F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233F9" w:rsidRDefault="00B233F9">
      <w:pPr>
        <w:pStyle w:val="ConsPlusTitle"/>
        <w:jc w:val="center"/>
      </w:pPr>
    </w:p>
    <w:p w:rsidR="00B233F9" w:rsidRDefault="00B233F9">
      <w:pPr>
        <w:pStyle w:val="ConsPlusTitle"/>
        <w:jc w:val="center"/>
      </w:pPr>
      <w:r>
        <w:t>ПОСТАНОВЛЕНИЕ</w:t>
      </w:r>
    </w:p>
    <w:p w:rsidR="00B233F9" w:rsidRDefault="00B233F9">
      <w:pPr>
        <w:pStyle w:val="ConsPlusTitle"/>
        <w:jc w:val="center"/>
      </w:pPr>
      <w:r>
        <w:t>от 5 апреля 2023 г. N 550</w:t>
      </w:r>
    </w:p>
    <w:p w:rsidR="00B233F9" w:rsidRDefault="00B233F9">
      <w:pPr>
        <w:pStyle w:val="ConsPlusTitle"/>
        <w:jc w:val="center"/>
      </w:pPr>
    </w:p>
    <w:p w:rsidR="00B233F9" w:rsidRDefault="00B233F9">
      <w:pPr>
        <w:pStyle w:val="ConsPlusTitle"/>
        <w:jc w:val="center"/>
      </w:pPr>
      <w:r>
        <w:t>ОБ УТВЕРЖДЕНИИ ПРАВИЛ</w:t>
      </w:r>
    </w:p>
    <w:p w:rsidR="00B233F9" w:rsidRDefault="00B233F9">
      <w:pPr>
        <w:pStyle w:val="ConsPlusTitle"/>
        <w:jc w:val="center"/>
      </w:pPr>
      <w:r>
        <w:t>ОСУЩЕСТВЛЕНИЯ УЧЕТА ЖИВОТНЫХ И ПЕРЕЧНЯ ВИДОВ ЖИВОТНЫХ,</w:t>
      </w:r>
    </w:p>
    <w:p w:rsidR="00B233F9" w:rsidRDefault="00B233F9">
      <w:pPr>
        <w:pStyle w:val="ConsPlusTitle"/>
        <w:jc w:val="center"/>
      </w:pPr>
      <w:r>
        <w:t>ПОДЛЕЖАЩИХ ИНДИВИДУАЛЬНОМУ ИЛИ ГРУППОВОМУ МАРКИРОВАНИЮ</w:t>
      </w:r>
    </w:p>
    <w:p w:rsidR="00B233F9" w:rsidRDefault="00B233F9">
      <w:pPr>
        <w:pStyle w:val="ConsPlusTitle"/>
        <w:jc w:val="center"/>
      </w:pPr>
      <w:r>
        <w:t>И УЧЕТУ, СЛУЧАЕВ ОСУЩЕСТВЛЕНИЯ ИНДИВИДУАЛЬНОГО</w:t>
      </w:r>
    </w:p>
    <w:p w:rsidR="00B233F9" w:rsidRDefault="00B233F9">
      <w:pPr>
        <w:pStyle w:val="ConsPlusTitle"/>
        <w:jc w:val="center"/>
      </w:pPr>
      <w:r>
        <w:t>ИЛИ ГРУППОВОГО МАРКИРОВАНИЯ И УЧЕТА ЖИВОТНЫХ,</w:t>
      </w:r>
    </w:p>
    <w:p w:rsidR="00B233F9" w:rsidRDefault="00B233F9">
      <w:pPr>
        <w:pStyle w:val="ConsPlusTitle"/>
        <w:jc w:val="center"/>
      </w:pPr>
      <w:r>
        <w:t>А ТАКЖЕ СРОКОВ ОСУЩЕСТВЛЕНИЯ УЧЕТА ЖИВОТНЫХ</w:t>
      </w: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19.1</w:t>
        </w:r>
      </w:hyperlink>
      <w:r>
        <w:t xml:space="preserve"> Закона Российской Федерации "О ветеринарии" Правительство Российской Федерации постановляет: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233F9" w:rsidRDefault="00B233F9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Правила</w:t>
        </w:r>
      </w:hyperlink>
      <w:r>
        <w:t xml:space="preserve"> осуществления учета животных;</w:t>
      </w:r>
    </w:p>
    <w:p w:rsidR="00B233F9" w:rsidRDefault="00B233F9">
      <w:pPr>
        <w:pStyle w:val="ConsPlusNormal"/>
        <w:spacing w:before="220"/>
        <w:ind w:firstLine="540"/>
        <w:jc w:val="both"/>
      </w:pPr>
      <w:hyperlink w:anchor="P87">
        <w:r>
          <w:rPr>
            <w:color w:val="0000FF"/>
          </w:rPr>
          <w:t>перечень</w:t>
        </w:r>
      </w:hyperlink>
      <w:r>
        <w:t xml:space="preserve">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2024 г. и действует до 1 марта 2030 г.</w:t>
      </w: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jc w:val="right"/>
      </w:pPr>
      <w:r>
        <w:t>Председатель Правительства</w:t>
      </w:r>
    </w:p>
    <w:p w:rsidR="00B233F9" w:rsidRDefault="00B233F9">
      <w:pPr>
        <w:pStyle w:val="ConsPlusNormal"/>
        <w:jc w:val="right"/>
      </w:pPr>
      <w:r>
        <w:t>Российской Федерации</w:t>
      </w:r>
    </w:p>
    <w:p w:rsidR="00B233F9" w:rsidRDefault="00B233F9">
      <w:pPr>
        <w:pStyle w:val="ConsPlusNormal"/>
        <w:jc w:val="right"/>
      </w:pPr>
      <w:r>
        <w:t>М.МИШУСТИН</w:t>
      </w: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jc w:val="right"/>
        <w:outlineLvl w:val="0"/>
      </w:pPr>
      <w:r>
        <w:t>Утверждены</w:t>
      </w:r>
    </w:p>
    <w:p w:rsidR="00B233F9" w:rsidRDefault="00B233F9">
      <w:pPr>
        <w:pStyle w:val="ConsPlusNormal"/>
        <w:jc w:val="right"/>
      </w:pPr>
      <w:r>
        <w:t>постановлением Правительства</w:t>
      </w:r>
    </w:p>
    <w:p w:rsidR="00B233F9" w:rsidRDefault="00B233F9">
      <w:pPr>
        <w:pStyle w:val="ConsPlusNormal"/>
        <w:jc w:val="right"/>
      </w:pPr>
      <w:r>
        <w:t>Российской Федерации</w:t>
      </w:r>
    </w:p>
    <w:p w:rsidR="00B233F9" w:rsidRDefault="00B233F9">
      <w:pPr>
        <w:pStyle w:val="ConsPlusNormal"/>
        <w:jc w:val="right"/>
      </w:pPr>
      <w:r>
        <w:t>от 5 апреля 2023 г. N 550</w:t>
      </w:r>
    </w:p>
    <w:p w:rsidR="00B233F9" w:rsidRDefault="00B233F9">
      <w:pPr>
        <w:pStyle w:val="ConsPlusNormal"/>
        <w:jc w:val="center"/>
      </w:pPr>
    </w:p>
    <w:p w:rsidR="00B233F9" w:rsidRDefault="00B233F9">
      <w:pPr>
        <w:pStyle w:val="ConsPlusTitle"/>
        <w:jc w:val="center"/>
      </w:pPr>
      <w:bookmarkStart w:id="0" w:name="P32"/>
      <w:bookmarkEnd w:id="0"/>
      <w:r>
        <w:t>ПРАВИЛА ОСУЩЕСТВЛЕНИЯ УЧЕТА ЖИВОТНЫХ</w:t>
      </w:r>
    </w:p>
    <w:p w:rsidR="00B233F9" w:rsidRDefault="00B233F9">
      <w:pPr>
        <w:pStyle w:val="ConsPlusNormal"/>
        <w:jc w:val="center"/>
      </w:pPr>
    </w:p>
    <w:p w:rsidR="00B233F9" w:rsidRDefault="00B233F9">
      <w:pPr>
        <w:pStyle w:val="ConsPlusNormal"/>
        <w:ind w:firstLine="540"/>
        <w:jc w:val="both"/>
      </w:pPr>
      <w:bookmarkStart w:id="1" w:name="P34"/>
      <w:bookmarkEnd w:id="1"/>
      <w:r>
        <w:t xml:space="preserve">1. Настоящие Правила устанавливают порядок осуществления учета животных, за исключением служебных животных, принадлежащих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</w:t>
      </w:r>
      <w:r>
        <w:lastRenderedPageBreak/>
        <w:t>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2. Учету подлежат животные в соответствии с перечнем видов животных, подлежащих индивидуальному или групповому маркированию и учету, установленным Правительством Российской Федерации в соответствии с </w:t>
      </w:r>
      <w:hyperlink r:id="rId6">
        <w:r>
          <w:rPr>
            <w:color w:val="0000FF"/>
          </w:rPr>
          <w:t>пунктом 2 статьи 19.1</w:t>
        </w:r>
      </w:hyperlink>
      <w:r>
        <w:t xml:space="preserve"> Закона Российской Федерации "О ветеринарии" (далее - животное), за исключением объектов животного мира, предусмотренных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животном мире", водных биологических ресурсов,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ресурсов", а также животных, не относящихся к сельскохозяйственным животным и принадлежащих гражданам.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3. Основанием для учета животного является его маркирование в соответствии с ветеринарными </w:t>
      </w:r>
      <w:hyperlink r:id="rId9">
        <w:r>
          <w:rPr>
            <w:color w:val="0000FF"/>
          </w:rPr>
          <w:t>правилами</w:t>
        </w:r>
      </w:hyperlink>
      <w:r>
        <w:t xml:space="preserve"> маркирования и учета животных,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 (далее - ветеринарные правила маркирования и учета животных).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Основанием для учета 2 и более животных одного вида, содержащихся в одном сооружении, предмете, приспособлении или помещении с одной целью содержания и в отношении которых единовременно осуществлено групповое маркирование одним средством маркирования (далее - группа животных), является их маркирование в соответствии с ветеринарными правилами маркирования и учета животных.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4. Учет животных осуществляется безвозмездно специалистами в области ветеринарии, являющимися уполномоченными лицами органов и организаций, входящих в систему Государственной ветеринарной службы Российской Федерации, или специалистами в области ветеринарии, не являющимися уполномоченными лицами указанных органов и организаций (далее - специалисты в области ветеринарии), путем представления информации в соответствии с </w:t>
      </w:r>
      <w:hyperlink w:anchor="P51">
        <w:r>
          <w:rPr>
            <w:color w:val="0000FF"/>
          </w:rPr>
          <w:t>пунктами 9</w:t>
        </w:r>
      </w:hyperlink>
      <w:r>
        <w:t xml:space="preserve">, </w:t>
      </w:r>
      <w:hyperlink w:anchor="P69">
        <w:r>
          <w:rPr>
            <w:color w:val="0000FF"/>
          </w:rPr>
          <w:t>11</w:t>
        </w:r>
      </w:hyperlink>
      <w:r>
        <w:t xml:space="preserve"> и </w:t>
      </w:r>
      <w:hyperlink w:anchor="P70">
        <w:r>
          <w:rPr>
            <w:color w:val="0000FF"/>
          </w:rPr>
          <w:t>12</w:t>
        </w:r>
      </w:hyperlink>
      <w:r>
        <w:t xml:space="preserve"> настоящих Правил в Федеральную государственную информационную систему в области ветеринарии (далее - информационная система в области ветеринарии) о животном (группе животных), маркированном в соответствии с ветеринарными правилами маркирования и учета животных, с присвоением животному (группе животных) уникального буквенно-цифрового идентификационного номера (далее - уникальный номер).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Уникальный номер действителен в течение жизни животного (времени существования группы животных).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5. Повторный учет индивидуально маркированного животного не допускается.</w:t>
      </w:r>
    </w:p>
    <w:p w:rsidR="00B233F9" w:rsidRDefault="00B233F9">
      <w:pPr>
        <w:pStyle w:val="ConsPlusNormal"/>
        <w:spacing w:before="220"/>
        <w:ind w:firstLine="540"/>
        <w:jc w:val="both"/>
      </w:pPr>
      <w:bookmarkStart w:id="2" w:name="P41"/>
      <w:bookmarkEnd w:id="2"/>
      <w:r>
        <w:t>Повторный учет группы животных с присвоением группе животных нового уникального номера допускается в случае, если в группу животных включаются животные, ранее входившие в иные подвергшиеся учету группы животных, или в случае, если в группу животных одновременно вводится более 25 процентов голов животных от количества голов животных, указанного в информационной системе в области ветеринарии при предыдущем учете данной группы животных.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6. Уникальный номер животного (группы животных) формируется автоматически информационной системой в области ветеринарии в режиме реального времени после представления информации, указанной в </w:t>
      </w:r>
      <w:hyperlink w:anchor="P51">
        <w:r>
          <w:rPr>
            <w:color w:val="0000FF"/>
          </w:rPr>
          <w:t>пунктах 9</w:t>
        </w:r>
      </w:hyperlink>
      <w:r>
        <w:t xml:space="preserve">, </w:t>
      </w:r>
      <w:hyperlink w:anchor="P69">
        <w:r>
          <w:rPr>
            <w:color w:val="0000FF"/>
          </w:rPr>
          <w:t>11</w:t>
        </w:r>
      </w:hyperlink>
      <w:r>
        <w:t xml:space="preserve"> и </w:t>
      </w:r>
      <w:hyperlink w:anchor="P70">
        <w:r>
          <w:rPr>
            <w:color w:val="0000FF"/>
          </w:rPr>
          <w:t>12</w:t>
        </w:r>
      </w:hyperlink>
      <w:r>
        <w:t xml:space="preserve"> настоящих Правил. Уникальный номер не изменяется в течение жизни животного (времени существования группы животных), за исключением случаев, установленных </w:t>
      </w:r>
      <w:hyperlink w:anchor="P41">
        <w:r>
          <w:rPr>
            <w:color w:val="0000FF"/>
          </w:rPr>
          <w:t>абзацем вторым пункта 5</w:t>
        </w:r>
      </w:hyperlink>
      <w:r>
        <w:t xml:space="preserve"> настоящих Правил.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7. Уникальный номер животного (группы животных) не должен повторяться и представляет </w:t>
      </w:r>
      <w:r>
        <w:lastRenderedPageBreak/>
        <w:t>собой буквенно-цифровую последовательность, включающую арабские цифры от 0 до 9 и латинские буквы (заглавные и строчные), которая имеет следующий формат: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а) первые 2 разряда заполняются заглавными буквами - RU, показывающими, что животные подвергнуты учету в Российской Федерации;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б) третий разряд заполняется цифрой: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"1" - в случае, если животное подвергнуто индивидуальному маркированию;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"2" - в случае, если животное (группа животных) подвергнуто групповому маркированию;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в) с четвертого по тринадцатый разряды заполняются последовательностью цифр и латинских букв (заглавных и строчных), представляющей собой индивидуальный или групповой номер животного (группы животных);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г) четырнадцатый разряд является служебным (итоговым) и резервируется для контрольной суммы предыдущих разрядов.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8. Учет животного (группы животных) проводится не позднее 10 рабочих дней со дня маркирования животного (группы животных) и (или) ввоза на территорию Российской Федерации маркированного животного (группы животных).</w:t>
      </w:r>
    </w:p>
    <w:p w:rsidR="00B233F9" w:rsidRDefault="00B233F9">
      <w:pPr>
        <w:pStyle w:val="ConsPlusNormal"/>
        <w:spacing w:before="220"/>
        <w:ind w:firstLine="540"/>
        <w:jc w:val="both"/>
      </w:pPr>
      <w:bookmarkStart w:id="3" w:name="P51"/>
      <w:bookmarkEnd w:id="3"/>
      <w:r>
        <w:t>9. В целях учета животных в информационную систему в области ветеринарии представляется следующая информация: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а) биологический вид животного;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б) порода (если известна), кросс (если известен и имеется);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в) дата рождения (диапазон дат рождения (возрастная группа) животных, за исключением пчел, а также рыб и иных объектов </w:t>
      </w:r>
      <w:proofErr w:type="spellStart"/>
      <w:r>
        <w:t>аквакультуры</w:t>
      </w:r>
      <w:proofErr w:type="spellEnd"/>
      <w:r>
        <w:t xml:space="preserve"> животного происхождения, при групповом маркировании животных);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г) масть (окрас) (при индивидуальном маркировании животного);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д) пол (при индивидуальном маркировании животного);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е) данные о маркировании (дата маркирования, наименование средства маркирования, номер средства маркирования, описание средства маркирования, место закрепления, или введения, или нанесения средства маркирования, сведения о лице (организации), осуществившем маркирование);</w:t>
      </w:r>
    </w:p>
    <w:p w:rsidR="00B233F9" w:rsidRDefault="00B233F9">
      <w:pPr>
        <w:pStyle w:val="ConsPlusNormal"/>
        <w:spacing w:before="220"/>
        <w:ind w:firstLine="540"/>
        <w:jc w:val="both"/>
      </w:pPr>
      <w:bookmarkStart w:id="4" w:name="P58"/>
      <w:bookmarkEnd w:id="4"/>
      <w:r>
        <w:t>ж) цель содержания (в том числе для разведения, для получения продукции);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з) тип содержания (в том числе </w:t>
      </w:r>
      <w:proofErr w:type="spellStart"/>
      <w:r>
        <w:t>безвыгульное</w:t>
      </w:r>
      <w:proofErr w:type="spellEnd"/>
      <w:r>
        <w:t>, выгульное, пастбищное);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и) место содержания;</w:t>
      </w:r>
    </w:p>
    <w:p w:rsidR="00B233F9" w:rsidRDefault="00B233F9">
      <w:pPr>
        <w:pStyle w:val="ConsPlusNormal"/>
        <w:spacing w:before="220"/>
        <w:ind w:firstLine="540"/>
        <w:jc w:val="both"/>
      </w:pPr>
      <w:bookmarkStart w:id="5" w:name="P61"/>
      <w:bookmarkEnd w:id="5"/>
      <w:r>
        <w:t>к) данные о владельце животного (фамилия, имя, отчество (при наличии) и страховой номер индивидуального лицевого счета физического лица, фамилия, имя, отчество (при наличии), индивидуальный номер налогоплательщика и адрес места жительства индивидуального предпринимателя, полное наименование, индивидуальный номер налогоплательщика и адрес в пределах места нахождения юридического лица);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л) данные о ввозе в Российскую Федерацию (дата ввоза и страна-экспортер, дата и номер ветеринарного сопроводительного документа, сопровождавшего животное при ввозе в </w:t>
      </w:r>
      <w:r>
        <w:lastRenderedPageBreak/>
        <w:t>Российскую Федерацию) - для ввезенных животных;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м) уникальный номер группы животных, в которой было учтено животное, - если животное ранее было учтено в составе группы животных;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н) данные о родителях (родительской группе (родительских группах) животного, включая их уникальный номер, - если родители (родительская группа (родительские группы) животного были учтены в информационной системе в области ветеринарии и известны;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о) данные о проведении лечебных и профилактических мероприятий (если известны), в том числе о дезинфекции, дегельминтизации, </w:t>
      </w:r>
      <w:proofErr w:type="spellStart"/>
      <w:r>
        <w:t>дезакаризации</w:t>
      </w:r>
      <w:proofErr w:type="spellEnd"/>
      <w:r>
        <w:t>, профилактической вакцинации, о применении лекарственных препаратов;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п) количество голов животных (за исключением пчел, а также рыб и иных объектов </w:t>
      </w:r>
      <w:proofErr w:type="spellStart"/>
      <w:r>
        <w:t>аквакультуры</w:t>
      </w:r>
      <w:proofErr w:type="spellEnd"/>
      <w:r>
        <w:t xml:space="preserve"> животного происхождениях), диапазон количества голов для домашней птицы - при групповом маркировании животных;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р) уникальный номер входящих в состав группы животных, ранее индивидуально маркированных.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10. При осуществлении учета животных, находящихся на объектах, подведомственных федеральным органам исполнительной власти, указанным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настоящих Правил, в информационную систему в области ветеринарии может не вноситься информация, указанная в </w:t>
      </w:r>
      <w:hyperlink w:anchor="P58">
        <w:r>
          <w:rPr>
            <w:color w:val="0000FF"/>
          </w:rPr>
          <w:t>подпунктах "ж"</w:t>
        </w:r>
      </w:hyperlink>
      <w:r>
        <w:t xml:space="preserve"> - </w:t>
      </w:r>
      <w:hyperlink w:anchor="P61">
        <w:r>
          <w:rPr>
            <w:color w:val="0000FF"/>
          </w:rPr>
          <w:t>"к" пункта 9</w:t>
        </w:r>
      </w:hyperlink>
      <w:r>
        <w:t xml:space="preserve"> настоящих Правил, в случае если указанная информация составляет государственную и (или) служебную тайну.</w:t>
      </w:r>
    </w:p>
    <w:p w:rsidR="00B233F9" w:rsidRDefault="00B233F9">
      <w:pPr>
        <w:pStyle w:val="ConsPlusNormal"/>
        <w:spacing w:before="220"/>
        <w:ind w:firstLine="540"/>
        <w:jc w:val="both"/>
      </w:pPr>
      <w:bookmarkStart w:id="6" w:name="P69"/>
      <w:bookmarkEnd w:id="6"/>
      <w:r>
        <w:t>11. При осуществлении учета животного в информационную систему в области ветеринарии может также представляться иная информация, в том числе о весе, продуктивности, потомстве, племенной ценности, данные о генетической идентификации или месте хранения пробы генетического материала, генетических исследованиях животного (в том числе данные о выявленных генетических болезнях или об их отсутствии).</w:t>
      </w:r>
    </w:p>
    <w:p w:rsidR="00B233F9" w:rsidRDefault="00B233F9">
      <w:pPr>
        <w:pStyle w:val="ConsPlusNormal"/>
        <w:spacing w:before="220"/>
        <w:ind w:firstLine="540"/>
        <w:jc w:val="both"/>
      </w:pPr>
      <w:bookmarkStart w:id="7" w:name="P70"/>
      <w:bookmarkEnd w:id="7"/>
      <w:r>
        <w:t>12. При осуществлении учета группы животных в информационную систему в области ветеринарии может также представляться иная информация, в том числе разбивка животных в группе по полу (за исключением пчел, а также рыб и иных водных животных), данные о ранее подвергнутых учету группах животных, в которые входили животные, составляющие группу, подвергаемую учету, о потомстве, продуктивности, племенной ценности, генетических исследованиях (в том числе данные о выявленных генетических болезнях или об их отсутствии).</w:t>
      </w:r>
    </w:p>
    <w:p w:rsidR="00B233F9" w:rsidRDefault="00B233F9">
      <w:pPr>
        <w:pStyle w:val="ConsPlusNormal"/>
        <w:spacing w:before="220"/>
        <w:ind w:firstLine="540"/>
        <w:jc w:val="both"/>
      </w:pPr>
      <w:bookmarkStart w:id="8" w:name="P71"/>
      <w:bookmarkEnd w:id="8"/>
      <w:r>
        <w:t xml:space="preserve">13. Для внесения информации, указанной в </w:t>
      </w:r>
      <w:hyperlink w:anchor="P51">
        <w:r>
          <w:rPr>
            <w:color w:val="0000FF"/>
          </w:rPr>
          <w:t>пунктах 9</w:t>
        </w:r>
      </w:hyperlink>
      <w:r>
        <w:t xml:space="preserve">, </w:t>
      </w:r>
      <w:hyperlink w:anchor="P69">
        <w:r>
          <w:rPr>
            <w:color w:val="0000FF"/>
          </w:rPr>
          <w:t>11</w:t>
        </w:r>
      </w:hyperlink>
      <w:r>
        <w:t xml:space="preserve"> и </w:t>
      </w:r>
      <w:hyperlink w:anchor="P70">
        <w:r>
          <w:rPr>
            <w:color w:val="0000FF"/>
          </w:rPr>
          <w:t>12</w:t>
        </w:r>
      </w:hyperlink>
      <w:r>
        <w:t xml:space="preserve"> настоящих Правил, владельцы животных (группы животных) представляют специалистам в области ветеринарии, осуществляющим учет животных (группы животных), необходимые сведения о животных (группе животных). Необходимые для учета животных (группы животных) сведения по </w:t>
      </w:r>
      <w:hyperlink r:id="rId10">
        <w:r>
          <w:rPr>
            <w:color w:val="0000FF"/>
          </w:rPr>
          <w:t>перечню</w:t>
        </w:r>
      </w:hyperlink>
      <w:r>
        <w:t>, установленному ветеринарными правилами маркирования и учета животных, и согласие на обработку персональных данных представляются владельцем животного (группы животных) специалистам в области ветеринарии в письменной форме или иными способами, позволяющими зафиксировать дату и время получения информации, в том числе посредством информационно-телекоммуникационной сети "Интернет", электронной почты (согласие на обработку персональных данных представляется владельцем животного (группы животных) - физическим лицом).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14. Специалист в области ветеринарии представляет в информационную систему в области ветеринарии информацию, полученную в соответствии с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Правил, в течение 5 рабочих дней после получения сведений о животных (группе животных).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15. В случае изменения сведений, необходимых для учета животного (группы животных) и представленных владельцем животного (группы животных) в соответствии с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</w:t>
      </w:r>
      <w:r>
        <w:lastRenderedPageBreak/>
        <w:t xml:space="preserve">Правил, владелец животного (группы животных) представляет специалисту в области ветеринарии информацию об изменении таких сведений способами, предусмотренными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Специалист в области ветеринарии представляет указанную в настоящем пункте информацию в информационную систему в области ветеринарии в течение 3 рабочих дней с даты ее поступления.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 xml:space="preserve">16. В случае перехода права собственности на животных, ранее учтенных в порядке, установленном </w:t>
      </w:r>
      <w:hyperlink r:id="rId11">
        <w:r>
          <w:rPr>
            <w:color w:val="0000FF"/>
          </w:rPr>
          <w:t>пунктом 2 статьи 2.5</w:t>
        </w:r>
      </w:hyperlink>
      <w:r>
        <w:t xml:space="preserve"> Закона Российской Федерации "О ветеринарии", новый владелец животного (группы животных), за исключением федеральных органов исполнительной власти,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настоящих Правил, представляет в соответствии с </w:t>
      </w:r>
      <w:hyperlink w:anchor="P71">
        <w:r>
          <w:rPr>
            <w:color w:val="0000FF"/>
          </w:rPr>
          <w:t>пунктом 13</w:t>
        </w:r>
      </w:hyperlink>
      <w:r>
        <w:t xml:space="preserve"> настоящих Правил специалисту в области ветеринарии сведения об учтенном животном (группе животных) для представления в информационную систему в области ветеринарии.</w:t>
      </w:r>
    </w:p>
    <w:p w:rsidR="00B233F9" w:rsidRDefault="00B233F9">
      <w:pPr>
        <w:pStyle w:val="ConsPlusNormal"/>
        <w:spacing w:before="220"/>
        <w:ind w:firstLine="540"/>
        <w:jc w:val="both"/>
      </w:pPr>
      <w:r>
        <w:t>Специалист в области ветеринарии представляет указанную в настоящем пункте информацию в информационную систему в области ветеринарии в течение 3 рабочих дней с даты ее поступления.</w:t>
      </w: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jc w:val="right"/>
        <w:outlineLvl w:val="0"/>
      </w:pPr>
      <w:r>
        <w:t>Утвержден</w:t>
      </w:r>
    </w:p>
    <w:p w:rsidR="00B233F9" w:rsidRDefault="00B233F9">
      <w:pPr>
        <w:pStyle w:val="ConsPlusNormal"/>
        <w:jc w:val="right"/>
      </w:pPr>
      <w:r>
        <w:t>постановлением Правительства</w:t>
      </w:r>
    </w:p>
    <w:p w:rsidR="00B233F9" w:rsidRDefault="00B233F9">
      <w:pPr>
        <w:pStyle w:val="ConsPlusNormal"/>
        <w:jc w:val="right"/>
      </w:pPr>
      <w:r>
        <w:t>Российской Федерации</w:t>
      </w:r>
    </w:p>
    <w:p w:rsidR="00B233F9" w:rsidRDefault="00B233F9">
      <w:pPr>
        <w:pStyle w:val="ConsPlusNormal"/>
        <w:jc w:val="right"/>
      </w:pPr>
      <w:r>
        <w:t>от 5 апреля 2023 г. N 550</w:t>
      </w:r>
    </w:p>
    <w:p w:rsidR="00B233F9" w:rsidRDefault="00B233F9">
      <w:pPr>
        <w:pStyle w:val="ConsPlusNormal"/>
        <w:jc w:val="center"/>
      </w:pPr>
    </w:p>
    <w:p w:rsidR="00B233F9" w:rsidRDefault="00B233F9">
      <w:pPr>
        <w:pStyle w:val="ConsPlusTitle"/>
        <w:jc w:val="center"/>
      </w:pPr>
      <w:bookmarkStart w:id="9" w:name="P87"/>
      <w:bookmarkEnd w:id="9"/>
      <w:r>
        <w:t>ПЕРЕЧЕНЬ</w:t>
      </w:r>
    </w:p>
    <w:p w:rsidR="00B233F9" w:rsidRDefault="00B233F9">
      <w:pPr>
        <w:pStyle w:val="ConsPlusTitle"/>
        <w:jc w:val="center"/>
      </w:pPr>
      <w:r>
        <w:t>ВИДОВ ЖИВОТНЫХ, ПОДЛЕЖАЩИХ ИНДИВИДУАЛЬНОМУ ИЛИ ГРУППОВОМУ</w:t>
      </w:r>
    </w:p>
    <w:p w:rsidR="00B233F9" w:rsidRDefault="00B233F9">
      <w:pPr>
        <w:pStyle w:val="ConsPlusTitle"/>
        <w:jc w:val="center"/>
      </w:pPr>
      <w:r>
        <w:t>МАРКИРОВАНИЮ И УЧЕТУ, СЛУЧАЕВ ОСУЩЕСТВЛЕНИЯ ИНДИВИДУАЛЬНОГО</w:t>
      </w:r>
    </w:p>
    <w:p w:rsidR="00B233F9" w:rsidRDefault="00B233F9">
      <w:pPr>
        <w:pStyle w:val="ConsPlusTitle"/>
        <w:jc w:val="center"/>
      </w:pPr>
      <w:r>
        <w:t>ИЛИ ГРУППОВОГО МАРКИРОВАНИЯ И УЧЕТА ЖИВОТНЫХ,</w:t>
      </w:r>
    </w:p>
    <w:p w:rsidR="00B233F9" w:rsidRDefault="00B233F9">
      <w:pPr>
        <w:pStyle w:val="ConsPlusTitle"/>
        <w:jc w:val="center"/>
      </w:pPr>
      <w:r>
        <w:t>А ТАКЖЕ СРОКОВ ОСУЩЕСТВЛЕНИЯ УЧЕТА ЖИВОТНЫХ</w:t>
      </w:r>
    </w:p>
    <w:p w:rsidR="00B233F9" w:rsidRDefault="00B233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2448"/>
        <w:gridCol w:w="3402"/>
        <w:gridCol w:w="2770"/>
      </w:tblGrid>
      <w:tr w:rsidR="00B233F9"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33F9" w:rsidRDefault="00B233F9">
            <w:pPr>
              <w:pStyle w:val="ConsPlusNormal"/>
              <w:jc w:val="center"/>
            </w:pPr>
            <w:r>
              <w:t>Виды животных, подлежащих индивидуальному или групповому маркированию и учету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233F9" w:rsidRDefault="00B233F9">
            <w:pPr>
              <w:pStyle w:val="ConsPlusNormal"/>
              <w:jc w:val="center"/>
            </w:pPr>
            <w:r>
              <w:t>Случаи осуществления индивидуального или группового маркирования и учета животных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Сроки осуществления учета животных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Крупный рогатый скот, в том числе зебу, буйволы, яки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не позднее 1 сентября 2024 г.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Лошади, ослы, мулы и лошаки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не позднее 1 сентября 2024 г., а содержащиеся в личных подсобных хозяйствах - не позднее 1 марта 2025 г.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Верблюды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 xml:space="preserve">не позднее 1 сентября 2025 г., а содержащиеся в личных подсобных хозяйствах - не позднее 1 </w:t>
            </w:r>
            <w:r>
              <w:lastRenderedPageBreak/>
              <w:t>сентября 2026 г.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Пчелы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>подлежат групповому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не позднее 1 сентября 2025 г.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Свиньи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не позднее 1 сентября 2024 г.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Овцы и козы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не позднее 1 сентября 2026 г.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Домашняя птица (в том числе куры, утки, гуси, индейки, цесарки, перепела, страусы)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не позднее 1 сентября 2024 г., а содержащиеся в личных подсобных хозяйствах в количестве более 10 голов - не позднее 1 сентября 2026 г., в количестве до 10 голов - не позднее 1 сентября 2029 г.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Олени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не позднее 1 сентября 2025 г., а содержащиеся в личных подсобных хозяйствах - не позднее 1 сентября 2026 г.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Пушные звери (в том числе лисицы, соболя, норки, хорьки, песцы, енотовидные собаки, нутрии)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не позднее 1 сентября 2025 г.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Кролики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подлежат групповому маркированию и учету; подлежат индивидуальному маркированию </w:t>
            </w:r>
            <w:r>
              <w:lastRenderedPageBreak/>
              <w:t>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lastRenderedPageBreak/>
              <w:t xml:space="preserve">не позднее 1 сентября 2025 г., а содержащиеся в личных подсобных </w:t>
            </w:r>
            <w:r>
              <w:lastRenderedPageBreak/>
              <w:t>хозяйствах в количестве более 10 голов - не позднее 1 сентября 2026 г., в количестве до 10 голов - не позднее 1 сентября 2029 г.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Рыбы и иные объекты </w:t>
            </w:r>
            <w:proofErr w:type="spellStart"/>
            <w:r>
              <w:t>аквакультуры</w:t>
            </w:r>
            <w:proofErr w:type="spellEnd"/>
            <w:r>
              <w:t xml:space="preserve"> животного происхождения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</w:pPr>
            <w: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владельца; не подлежат маркированию и учету в случае, если указанные животные содержатся в личных подсобных хозяйствах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не позднее 1 марта 2026 г.</w:t>
            </w:r>
          </w:p>
        </w:tc>
      </w:tr>
      <w:tr w:rsidR="00B233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bookmarkStart w:id="10" w:name="P140"/>
            <w:bookmarkEnd w:id="10"/>
            <w:r>
              <w:t>12.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3F9" w:rsidRDefault="00B233F9">
            <w:pPr>
              <w:pStyle w:val="ConsPlusNormal"/>
            </w:pPr>
            <w:r>
              <w:t xml:space="preserve">Служебные животные </w:t>
            </w:r>
            <w:hyperlink w:anchor="P147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3F9" w:rsidRDefault="00B233F9">
            <w:pPr>
              <w:pStyle w:val="ConsPlusNormal"/>
            </w:pPr>
            <w:r>
              <w:t>подлежат индивидуальному маркированию и учету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3F9" w:rsidRDefault="00B233F9">
            <w:pPr>
              <w:pStyle w:val="ConsPlusNormal"/>
              <w:jc w:val="center"/>
            </w:pPr>
            <w:r>
              <w:t>не позднее 1 марта 2026 г.</w:t>
            </w:r>
          </w:p>
        </w:tc>
      </w:tr>
    </w:tbl>
    <w:p w:rsidR="00B233F9" w:rsidRDefault="00B233F9">
      <w:pPr>
        <w:pStyle w:val="ConsPlusNormal"/>
        <w:ind w:firstLine="540"/>
        <w:jc w:val="both"/>
      </w:pPr>
    </w:p>
    <w:p w:rsidR="00B233F9" w:rsidRDefault="00B233F9">
      <w:pPr>
        <w:pStyle w:val="ConsPlusNormal"/>
        <w:ind w:firstLine="540"/>
        <w:jc w:val="both"/>
      </w:pPr>
      <w:r>
        <w:t>--------------------------------</w:t>
      </w:r>
    </w:p>
    <w:p w:rsidR="00B233F9" w:rsidRDefault="00B233F9">
      <w:pPr>
        <w:pStyle w:val="ConsPlusNormal"/>
        <w:spacing w:before="220"/>
        <w:ind w:firstLine="540"/>
        <w:jc w:val="both"/>
      </w:pPr>
      <w:bookmarkStart w:id="11" w:name="P146"/>
      <w:bookmarkEnd w:id="11"/>
      <w:r>
        <w:t xml:space="preserve">&lt;*&gt; За исключением животных, не подлежащих индивидуальному или групповому маркированию и учету в соответствии с </w:t>
      </w:r>
      <w:hyperlink r:id="rId12">
        <w:r>
          <w:rPr>
            <w:color w:val="0000FF"/>
          </w:rPr>
          <w:t>пунктом 3 статьи 19.1</w:t>
        </w:r>
      </w:hyperlink>
      <w:r>
        <w:t xml:space="preserve"> Закона Российской Федерации "О ветеринарии", а также указанных в </w:t>
      </w:r>
      <w:hyperlink w:anchor="P140">
        <w:r>
          <w:rPr>
            <w:color w:val="0000FF"/>
          </w:rPr>
          <w:t>пункте 12</w:t>
        </w:r>
      </w:hyperlink>
      <w:r>
        <w:t xml:space="preserve"> настоящего перечня.</w:t>
      </w:r>
    </w:p>
    <w:p w:rsidR="00B233F9" w:rsidRDefault="00B233F9">
      <w:pPr>
        <w:pStyle w:val="ConsPlusNormal"/>
        <w:spacing w:before="220"/>
        <w:ind w:firstLine="540"/>
        <w:jc w:val="both"/>
      </w:pPr>
      <w:bookmarkStart w:id="12" w:name="P147"/>
      <w:bookmarkEnd w:id="12"/>
      <w:r>
        <w:t xml:space="preserve">&lt;**&gt; В соответствии с </w:t>
      </w:r>
      <w:hyperlink r:id="rId13">
        <w:r>
          <w:rPr>
            <w:color w:val="0000FF"/>
          </w:rPr>
          <w:t>пунктом 11 статьи 3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Федерации".</w:t>
      </w:r>
    </w:p>
    <w:p w:rsidR="00B233F9" w:rsidRDefault="00B233F9">
      <w:pPr>
        <w:pStyle w:val="ConsPlusNormal"/>
        <w:jc w:val="both"/>
      </w:pPr>
    </w:p>
    <w:p w:rsidR="00B233F9" w:rsidRDefault="00B233F9">
      <w:pPr>
        <w:pStyle w:val="ConsPlusNormal"/>
        <w:jc w:val="both"/>
      </w:pPr>
    </w:p>
    <w:p w:rsidR="00B233F9" w:rsidRDefault="00B233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9B6" w:rsidRDefault="008069B6">
      <w:bookmarkStart w:id="13" w:name="_GoBack"/>
      <w:bookmarkEnd w:id="13"/>
    </w:p>
    <w:sectPr w:rsidR="008069B6" w:rsidSect="0067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F9"/>
    <w:rsid w:val="008069B6"/>
    <w:rsid w:val="00B2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E06E-A66D-4A42-B05B-17E5E6F8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3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33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33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510" TargetMode="External"/><Relationship Id="rId13" Type="http://schemas.openxmlformats.org/officeDocument/2006/relationships/hyperlink" Target="https://login.consultant.ru/link/?req=doc&amp;base=LAW&amp;n=482855&amp;dst=100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384&amp;dst=303" TargetMode="External"/><Relationship Id="rId12" Type="http://schemas.openxmlformats.org/officeDocument/2006/relationships/hyperlink" Target="https://login.consultant.ru/link/?req=doc&amp;base=LAW&amp;n=471022&amp;dst=4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2&amp;dst=444" TargetMode="External"/><Relationship Id="rId11" Type="http://schemas.openxmlformats.org/officeDocument/2006/relationships/hyperlink" Target="https://login.consultant.ru/link/?req=doc&amp;base=LAW&amp;n=471022&amp;dst=423" TargetMode="External"/><Relationship Id="rId5" Type="http://schemas.openxmlformats.org/officeDocument/2006/relationships/hyperlink" Target="https://login.consultant.ru/link/?req=doc&amp;base=LAW&amp;n=471022&amp;dst=44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3223&amp;dst=1001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3223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Поливода Анастасия Александровна</dc:creator>
  <cp:keywords/>
  <dc:description/>
  <cp:lastModifiedBy>Поливода Анастасия Александровна</cp:lastModifiedBy>
  <cp:revision>1</cp:revision>
  <cp:lastPrinted>2025-01-29T07:48:00Z</cp:lastPrinted>
  <dcterms:created xsi:type="dcterms:W3CDTF">2025-01-29T07:48:00Z</dcterms:created>
  <dcterms:modified xsi:type="dcterms:W3CDTF">2025-01-29T07:49:00Z</dcterms:modified>
</cp:coreProperties>
</file>